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147</w:t>
      </w:r>
    </w:p>
    <w:p>
      <w:r>
        <w:t>Bundesgericht (BGE), 2007-12-06, DE</w:t>
      </w:r>
    </w:p>
    <w:p>
      <w:r>
        <w:rPr>
          <w:b/>
        </w:rPr>
        <w:t xml:space="preserve">Quelle: </w:t>
      </w:r>
      <w:r>
        <w:t>https://mcp.opencaselaw.ch/entscheid/bge_134 III 147</w:t>
      </w:r>
    </w:p>
    <w:p>
      <w:r>
        <w:t>FR: ATF 134 III 147</w:t>
      </w:r>
    </w:p>
    <w:p>
      <w:r>
        <w:t>IT: DTF 134 III 147</w:t>
      </w:r>
    </w:p>
    <w:p>
      <w:pPr>
        <w:pStyle w:val="Heading2"/>
      </w:pPr>
      <w:r>
        <w:t>Regeste</w:t>
      </w:r>
    </w:p>
    <w:p>
      <w:r>
        <w:t>Regeste Entschädigung für Bau auf fremdem Boden (Art. 672 Abs. 1 ZGB); gesetzliches Grundpfandrecht. Zur Sicherung der Entschädigung gemäss Art. 672 Abs. 1 ZGB steht dem Anspruchsberechtigten, der mit dem Einverständnis des Grundeigentümers und im Vertrauen darauf gebaut hat, er werde das Grundstück erwerben können, ein - dem Bauhandwerkerpfandrecht (Art. 837 Abs. 1 Ziff. 3 ZGB) analoges - gesetzliches Pfandrecht zu (E. 4).</w:t>
      </w:r>
    </w:p>
    <w:p>
      <w:pPr>
        <w:pStyle w:val="Heading2"/>
      </w:pPr>
      <w:r>
        <w:t>Erwägungen</w:t>
      </w:r>
    </w:p>
    <w:p>
      <w:r>
        <w:rPr>
          <w:b/>
        </w:rPr>
        <w:t>E. 4</w:t>
      </w:r>
    </w:p>
    <w:p>
      <w:r>
        <w:t>(...) Das Urteil des Obergerichts ist auch insofern zu überprüfen, als der Beschwerdeführer die Verneinung des von ihm in Analogie zu Art. 837 Abs. 1 Ziff. 3 ZGB (Bauhandwerkerpfandrecht) geltend gemachten Anspruchs auf Pfandsicherung anficht.</w:t>
      </w:r>
    </w:p>
    <w:p>
      <w:r>
        <w:rPr>
          <w:b/>
        </w:rPr>
        <w:t>E. 4.1</w:t>
      </w:r>
    </w:p>
    <w:p>
      <w:r>
        <w:t>Das Bundesgericht liess in BGE 95 II 221 ff. offen, ob sich die vom Beschwerdeführer angerufene Bestimmung generell auf Ersatzforderungen aus Art. 672 ZGB übertragen lasse. Dem Urteil lagen Leistungen aus einem - vom Grundeigentümer nicht genehmigten - Werkvertrag (Ausbau von Zufahrt und Parkplatz) zugrunde, den der Bauunternehmer mit dem Geranten des auf dem Grundstück stehenden Hotels abgeschlossen hatte. Namentlich unter Hinweis auf den guten Glauben des Bauunternehmers hielt das Bundesgericht dafür, die Pfandbelastung sei für die Entschädigung, die dem Bauunternehmer gestützt auf Art. 672 Abs. 1 ZGB zustehe, zuzulassen ( BGE 95 II 221 E. 3 S. 229 f.). Dass in (analoger) Anwendung von Art. 837 Abs. 1 Ziff. 3 ZGB dem aus Art. 672 ZGB Anspruchsberechtigten ein gesetzliches Pfandrecht eingeräumt werden soll, wird in der Literatur überwiegend ablehnend vermerkt (DIETER ZOBL, Das Bauhandwerkerpfandrecht de lege lata und de lege ferenda, in: ZSR 101/1982 II S. 118; JEAN-CLAUDE DE HALLER, L'hypothèque légale de l'entrepreneur, in: ZSR 101/1982 II S. 224; JACQUES-MICHEL GROSSEN, Quelques problèmes actuels concernant l'hypothèque légale des artisans et des entrepreneurs, in: ZBGR 54/1973 S. 71; den eingangs angeführten Entscheid des Bundesgerichts billigend: JOSEF HOFSTETTER, in: Basler Kommentar, N. 9 zu Art. 839/840 ZGB). Seinerseits lehnte das Obergericht des Kantons Zürich eine analoge Anwendung von Art. 837 Abs. 1 Ziff. 3 ZGB auf Ersatzforderungen aus Art. 672 ZGB in einem Urteil vom 21. Oktober 1977 ab (ZR 77/1978 Nr. 133 S. 302 ff.).</w:t>
      </w:r>
    </w:p>
    <w:p>
      <w:r>
        <w:rPr>
          <w:b/>
        </w:rPr>
        <w:t>E. 4.2</w:t>
      </w:r>
    </w:p>
    <w:p>
      <w:r>
        <w:t>Wie bei den Fällen, da ein Bauhandwerker Arbeiten in Erfüllung eines mit einem Mieter geschlossenen Werkvertrags ausgeführt hat, BGE 134 III 147 S. 150 fehlt im vorliegenden Fall ein (auf die Errichtung des strittigen Bauwerks gerichteter) Vertrag zwischen dem Unternehmer (Beschwerdeführer) und der Grundeigentümerin. Für den sogenannten Mieterbau hat das Bundesgericht die Zulässigkeit eines Bauhandwerkerpfandrechts verschiedentlich bejaht. Neben einer objektiven Wertvermehrung durch die fraglichen Arbeiten verlangte es dabei vor allem, dass der Grundeigentümer (Vermieter) seine Zustimmung zu den Arbeiten erteilt habe ( BGE 126 III 505 E. 4a S. 507; BGE 116 II 677 E. 4c S. 683). Es geht mit anderen Worten hauptsächlich darum, dass der Grundeigentümer sich das gesetzliche Pfandrecht nicht soll gefallen lassen müssen, wenn die Bauarbeiten gegen seinen Willen ausgeführt wurden.</w:t>
      </w:r>
    </w:p>
    <w:p>
      <w:r>
        <w:rPr>
          <w:b/>
        </w:rPr>
        <w:t>E. 4.3</w:t>
      </w:r>
    </w:p>
    <w:p>
      <w:r>
        <w:t>In Würdigung der Aussagen der am ursprünglichen Bauprojekt unmittelbar Beteiligten, namentlich auch A.s, des einzigen Verwaltungsrats der G. AG, die im Zeitpunkt der Errichtung des strittigen Einbaus Eigentümerin des Grundstücks war, wie auch des beigezogenen Notars gelangte das Obergericht zum Schluss, jene sei mit dem Bauen einverstanden gewesen. Von einem blossen Dulden, wie von der Beschwerdegegnerin geltend gemacht, kann aufgrund der Feststellungen im angefochtenen Entscheid nicht gesprochen werden. Ausserdem ist die Vorinstanz davon ausgegangen, es sei bis zum Baustopp Mitte Oktober 2002 auf beiden Seiten darauf vertraut worden, dass die Übertragung des Grundstücks auf den Beschwerdeführer zustande kommen werde. Unter den dargelegten Umständen rechtfertigt es sich, in analoger Anwendung von Art. 837 Abs. 1 Ziff. 3 ZGB dem Beschwerdeführer für seine Ersatzforderung nach Art. 672 Abs. 1 ZGB die verlangte grundpfandrechtliche Sicherung zu gewähren. Der Anspruch auf Errichtung eines gesetzlichen Grundpfandes ist realobligatorischer Natur und richtet sich somit gegen den jeweiligen Eigentümer des Grundstücks ( BGE 92 II 227 E. 1 S. 229 f.; ZOBL, a.a.O., S. 77 f.; HANS MICHAEL RIEMER, Die beschränkten dinglichen Rechte, 2. Aufl., Bern 2000, § 18 N. 46 ff.; HOFSTETTER, a.a.O., N. 11 zu Art. 837/838 und N. 22 zu Art. 839/840 ZGB). Hier besteht er somit ohne weiteres gegenüber der Beschwerdegegnerin, die das fragliche Grundstück nachträglich von der G. AG erworben hat. Auch hinsichtlich der Verweigerung des Grundpfandrechts ist die Beschwerde im Verfahren 5A_160/2007 mithin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